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广西</w:t>
      </w:r>
      <w:r>
        <w:rPr>
          <w:rFonts w:hint="eastAsia" w:ascii="宋体" w:hAnsi="宋体"/>
          <w:b/>
          <w:sz w:val="40"/>
          <w:szCs w:val="40"/>
        </w:rPr>
        <w:t>医师协会关于开展201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9</w:t>
      </w:r>
      <w:r>
        <w:rPr>
          <w:rFonts w:hint="eastAsia" w:ascii="宋体" w:hAnsi="宋体"/>
          <w:b/>
          <w:sz w:val="40"/>
          <w:szCs w:val="40"/>
        </w:rPr>
        <w:t>年度优秀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二级</w:t>
      </w:r>
      <w:r>
        <w:rPr>
          <w:rFonts w:hint="eastAsia" w:ascii="宋体" w:hAnsi="宋体"/>
          <w:b/>
          <w:sz w:val="40"/>
          <w:szCs w:val="40"/>
        </w:rPr>
        <w:t>机构评选工作的通知</w:t>
      </w:r>
    </w:p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560" w:lineRule="exact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桂</w:t>
      </w:r>
      <w:r>
        <w:rPr>
          <w:rFonts w:hint="eastAsia" w:ascii="仿宋" w:hAnsi="仿宋" w:eastAsia="仿宋"/>
          <w:sz w:val="32"/>
          <w:szCs w:val="32"/>
        </w:rPr>
        <w:t>医协</w:t>
      </w:r>
      <w:r>
        <w:rPr>
          <w:rFonts w:hint="eastAsia" w:ascii="仿宋" w:hAnsi="仿宋" w:eastAsia="仿宋"/>
          <w:sz w:val="32"/>
          <w:szCs w:val="32"/>
          <w:lang w:eastAsia="zh-CN"/>
        </w:rPr>
        <w:t>函【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9】092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各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为加强各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机构的组织建设，充分发挥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机构的作用，进一步调动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机构的工作积极性、主动性和创造性，促进各</w:t>
      </w:r>
      <w:r>
        <w:rPr>
          <w:rFonts w:hint="eastAsia" w:ascii="仿宋" w:hAnsi="仿宋" w:eastAsia="仿宋"/>
          <w:sz w:val="32"/>
          <w:lang w:eastAsia="zh-CN"/>
        </w:rPr>
        <w:t>二级机构</w:t>
      </w:r>
      <w:r>
        <w:rPr>
          <w:rFonts w:hint="eastAsia" w:ascii="仿宋" w:hAnsi="仿宋" w:eastAsia="仿宋"/>
          <w:sz w:val="32"/>
        </w:rPr>
        <w:t>之间的学习、交流、协作和竞争，引导各</w:t>
      </w:r>
      <w:r>
        <w:rPr>
          <w:rFonts w:hint="eastAsia" w:ascii="仿宋" w:hAnsi="仿宋" w:eastAsia="仿宋"/>
          <w:sz w:val="32"/>
          <w:lang w:eastAsia="zh-CN"/>
        </w:rPr>
        <w:t>二级机构</w:t>
      </w:r>
      <w:r>
        <w:rPr>
          <w:rFonts w:hint="eastAsia" w:ascii="仿宋" w:hAnsi="仿宋" w:eastAsia="仿宋"/>
          <w:sz w:val="32"/>
        </w:rPr>
        <w:t>工作朝着系统化、科学化、可持续方向发展。</w:t>
      </w:r>
      <w:r>
        <w:rPr>
          <w:rFonts w:hint="eastAsia" w:ascii="仿宋" w:hAnsi="仿宋" w:eastAsia="仿宋"/>
          <w:sz w:val="32"/>
          <w:lang w:eastAsia="zh-CN"/>
        </w:rPr>
        <w:t>经广西医师协会第一届理事会第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sz w:val="32"/>
          <w:lang w:val="en-US" w:eastAsia="zh-CN"/>
        </w:rPr>
        <w:t>次</w:t>
      </w:r>
      <w:r>
        <w:rPr>
          <w:rFonts w:hint="eastAsia" w:ascii="仿宋" w:hAnsi="仿宋" w:eastAsia="仿宋"/>
          <w:sz w:val="32"/>
          <w:lang w:eastAsia="zh-CN"/>
        </w:rPr>
        <w:t>常务理事会审批，</w:t>
      </w:r>
      <w:r>
        <w:rPr>
          <w:rFonts w:hint="eastAsia" w:ascii="仿宋" w:hAnsi="仿宋" w:eastAsia="仿宋"/>
          <w:sz w:val="32"/>
        </w:rPr>
        <w:t>将对201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年度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机构的工作进行年</w:t>
      </w:r>
      <w:r>
        <w:rPr>
          <w:rFonts w:hint="eastAsia" w:ascii="仿宋" w:hAnsi="仿宋" w:eastAsia="仿宋"/>
          <w:sz w:val="32"/>
          <w:lang w:eastAsia="zh-CN"/>
        </w:rPr>
        <w:t>度</w:t>
      </w:r>
      <w:r>
        <w:rPr>
          <w:rFonts w:hint="eastAsia" w:ascii="仿宋" w:hAnsi="仿宋" w:eastAsia="仿宋"/>
          <w:sz w:val="32"/>
        </w:rPr>
        <w:t>评选和表彰。具体事项通知如下：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一、评选对象和名额分配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（一）评选对象：协会现已成立</w:t>
      </w:r>
      <w:r>
        <w:rPr>
          <w:rFonts w:hint="eastAsia" w:ascii="仿宋" w:hAnsi="仿宋" w:eastAsia="仿宋"/>
          <w:sz w:val="32"/>
          <w:lang w:eastAsia="zh-CN"/>
        </w:rPr>
        <w:t>满一年</w:t>
      </w:r>
      <w:r>
        <w:rPr>
          <w:rFonts w:hint="eastAsia" w:ascii="仿宋" w:hAnsi="仿宋" w:eastAsia="仿宋"/>
          <w:sz w:val="32"/>
        </w:rPr>
        <w:t>的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（二）名额分配：201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年度共评选优秀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机构10个。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二、评选原则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（一）程序公平、公正、公开。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（二）坚持标准，从严把关。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三、组织机构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</w:rPr>
        <w:t>优秀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机构评选工作在协会会长会议的指导下，设立评审委员会</w:t>
      </w:r>
      <w:r>
        <w:rPr>
          <w:rFonts w:hint="eastAsia" w:ascii="仿宋" w:hAnsi="仿宋" w:eastAsia="仿宋"/>
          <w:sz w:val="32"/>
          <w:lang w:eastAsia="zh-CN"/>
        </w:rPr>
        <w:t>和监事会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</w:rPr>
        <w:t>四、评选流程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（一）评选期数：每年进行一次优秀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机构的年</w:t>
      </w:r>
      <w:r>
        <w:rPr>
          <w:rFonts w:hint="eastAsia" w:ascii="仿宋" w:hAnsi="仿宋" w:eastAsia="仿宋"/>
          <w:sz w:val="32"/>
          <w:lang w:eastAsia="zh-CN"/>
        </w:rPr>
        <w:t>度</w:t>
      </w:r>
      <w:r>
        <w:rPr>
          <w:rFonts w:hint="eastAsia" w:ascii="仿宋" w:hAnsi="仿宋" w:eastAsia="仿宋"/>
          <w:sz w:val="32"/>
        </w:rPr>
        <w:t>评选。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（二）评审时间：评审委员会将在每年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19日前</w:t>
      </w:r>
      <w:r>
        <w:rPr>
          <w:rFonts w:hint="eastAsia" w:ascii="仿宋" w:hAnsi="仿宋" w:eastAsia="仿宋"/>
          <w:sz w:val="32"/>
        </w:rPr>
        <w:t>召开优秀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机构评审会，对本年度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机构进行评审。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（三）评审内容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广西</w:t>
      </w:r>
      <w:r>
        <w:rPr>
          <w:rFonts w:hint="eastAsia" w:ascii="仿宋" w:hAnsi="仿宋" w:eastAsia="仿宋"/>
          <w:sz w:val="32"/>
          <w:szCs w:val="32"/>
        </w:rPr>
        <w:t>医师协会</w:t>
      </w:r>
      <w:r>
        <w:rPr>
          <w:rFonts w:hint="eastAsia" w:ascii="仿宋" w:hAnsi="仿宋" w:eastAsia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/>
          <w:sz w:val="32"/>
          <w:szCs w:val="32"/>
        </w:rPr>
        <w:t>机构评选考核汇总表》是评选年度优秀</w:t>
      </w:r>
      <w:r>
        <w:rPr>
          <w:rFonts w:hint="eastAsia" w:ascii="仿宋" w:hAnsi="仿宋" w:eastAsia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/>
          <w:sz w:val="32"/>
          <w:szCs w:val="32"/>
        </w:rPr>
        <w:t>机构的主要依据，汇总表所填内容均指以</w:t>
      </w:r>
      <w:r>
        <w:rPr>
          <w:rFonts w:hint="eastAsia" w:ascii="仿宋" w:hAnsi="仿宋" w:eastAsia="仿宋"/>
          <w:sz w:val="32"/>
          <w:szCs w:val="32"/>
          <w:lang w:eastAsia="zh-CN"/>
        </w:rPr>
        <w:t>广西</w:t>
      </w:r>
      <w:r>
        <w:rPr>
          <w:rFonts w:hint="eastAsia" w:ascii="仿宋" w:hAnsi="仿宋" w:eastAsia="仿宋"/>
          <w:sz w:val="32"/>
          <w:szCs w:val="32"/>
        </w:rPr>
        <w:t>医师协会名义且在协会备案后举办的活动及开展的工作。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2．</w:t>
      </w:r>
      <w:r>
        <w:rPr>
          <w:rFonts w:hint="eastAsia" w:ascii="仿宋" w:hAnsi="仿宋" w:eastAsia="仿宋"/>
          <w:sz w:val="32"/>
          <w:szCs w:val="32"/>
        </w:rPr>
        <w:t>由评审委员会根据各</w:t>
      </w:r>
      <w:r>
        <w:rPr>
          <w:rFonts w:hint="eastAsia" w:ascii="仿宋" w:hAnsi="仿宋" w:eastAsia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/>
          <w:sz w:val="32"/>
          <w:szCs w:val="32"/>
        </w:rPr>
        <w:t>机构上报的《汇总表》及查看原始资料形式现场打分。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</w:rPr>
        <w:t>．以总分数高低排名。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（四）资料上报方式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1．《</w:t>
      </w:r>
      <w:r>
        <w:rPr>
          <w:rFonts w:hint="eastAsia" w:ascii="仿宋" w:hAnsi="仿宋" w:eastAsia="仿宋"/>
          <w:sz w:val="32"/>
          <w:szCs w:val="32"/>
          <w:lang w:eastAsia="zh-CN"/>
        </w:rPr>
        <w:t>广西</w:t>
      </w:r>
      <w:r>
        <w:rPr>
          <w:rFonts w:hint="eastAsia" w:ascii="仿宋" w:hAnsi="仿宋" w:eastAsia="仿宋"/>
          <w:sz w:val="32"/>
          <w:szCs w:val="32"/>
        </w:rPr>
        <w:t>医师协会</w:t>
      </w:r>
      <w:r>
        <w:rPr>
          <w:rFonts w:hint="eastAsia" w:ascii="仿宋" w:hAnsi="仿宋" w:eastAsia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/>
          <w:sz w:val="32"/>
          <w:szCs w:val="32"/>
        </w:rPr>
        <w:t>机构评选考核汇总表</w:t>
      </w:r>
      <w:r>
        <w:rPr>
          <w:rFonts w:hint="eastAsia" w:ascii="仿宋" w:hAnsi="仿宋" w:eastAsia="仿宋"/>
          <w:sz w:val="32"/>
        </w:rPr>
        <w:t>》</w:t>
      </w:r>
      <w:r>
        <w:rPr>
          <w:rFonts w:hint="eastAsia" w:ascii="仿宋" w:hAnsi="仿宋" w:eastAsia="仿宋"/>
          <w:sz w:val="32"/>
          <w:szCs w:val="32"/>
        </w:rPr>
        <w:t>请在</w:t>
      </w:r>
      <w:r>
        <w:rPr>
          <w:rFonts w:hint="eastAsia" w:ascii="仿宋" w:hAnsi="仿宋" w:eastAsia="仿宋"/>
          <w:sz w:val="32"/>
          <w:szCs w:val="32"/>
          <w:lang w:eastAsia="zh-CN"/>
        </w:rPr>
        <w:t>广西</w:t>
      </w:r>
      <w:r>
        <w:rPr>
          <w:rFonts w:hint="eastAsia" w:ascii="仿宋" w:hAnsi="仿宋" w:eastAsia="仿宋"/>
          <w:sz w:val="32"/>
          <w:szCs w:val="32"/>
        </w:rPr>
        <w:t>医师协会</w:t>
      </w:r>
      <w:r>
        <w:rPr>
          <w:rFonts w:hint="eastAsia" w:ascii="仿宋" w:hAnsi="仿宋" w:eastAsia="仿宋"/>
          <w:sz w:val="32"/>
          <w:szCs w:val="32"/>
          <w:lang w:eastAsia="zh-CN"/>
        </w:rPr>
        <w:t>微信公众平台</w:t>
      </w:r>
      <w:r>
        <w:rPr>
          <w:rFonts w:hint="eastAsia" w:ascii="仿宋" w:hAnsi="仿宋" w:eastAsia="仿宋"/>
          <w:sz w:val="32"/>
          <w:szCs w:val="32"/>
        </w:rPr>
        <w:t>下载专区进行下载填写，A4纸打印附相关附件材料，主委签字后报送协会办公室。各</w:t>
      </w:r>
      <w:r>
        <w:rPr>
          <w:rFonts w:hint="eastAsia" w:ascii="仿宋" w:hAnsi="仿宋" w:eastAsia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/>
          <w:sz w:val="32"/>
          <w:szCs w:val="32"/>
        </w:rPr>
        <w:t>机构必须认真如实填写，如有弄虚</w:t>
      </w:r>
      <w:r>
        <w:rPr>
          <w:rFonts w:hint="eastAsia" w:ascii="仿宋" w:hAnsi="仿宋" w:eastAsia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/>
          <w:sz w:val="32"/>
          <w:szCs w:val="32"/>
        </w:rPr>
        <w:t>假将取消其参评资格。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2．各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机构应于</w:t>
      </w:r>
      <w:r>
        <w:rPr>
          <w:rFonts w:hint="eastAsia" w:ascii="仿宋" w:hAnsi="仿宋" w:eastAsia="仿宋"/>
          <w:color w:val="auto"/>
          <w:sz w:val="32"/>
        </w:rPr>
        <w:t>201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sz w:val="32"/>
          <w:lang w:eastAsia="zh-CN"/>
        </w:rPr>
        <w:t>前</w:t>
      </w:r>
      <w:r>
        <w:rPr>
          <w:rFonts w:hint="eastAsia" w:ascii="仿宋" w:hAnsi="仿宋" w:eastAsia="仿宋"/>
          <w:sz w:val="32"/>
        </w:rPr>
        <w:t>提交，提供纸质材料一份，且将电子文档发至</w:t>
      </w:r>
      <w:r>
        <w:rPr>
          <w:rFonts w:hint="eastAsia" w:ascii="仿宋" w:hAnsi="仿宋" w:eastAsia="仿宋"/>
          <w:sz w:val="32"/>
          <w:lang w:val="en-US" w:eastAsia="zh-CN"/>
        </w:rPr>
        <w:t>gxmda01</w:t>
      </w:r>
      <w:r>
        <w:rPr>
          <w:rFonts w:ascii="仿宋" w:hAnsi="仿宋" w:eastAsia="仿宋" w:cs="黑体"/>
          <w:kern w:val="0"/>
          <w:sz w:val="32"/>
          <w:szCs w:val="32"/>
        </w:rPr>
        <w:t>@163.com</w:t>
      </w:r>
      <w:r>
        <w:rPr>
          <w:rFonts w:hint="eastAsia" w:ascii="仿宋" w:hAnsi="仿宋" w:eastAsia="仿宋"/>
          <w:sz w:val="32"/>
        </w:rPr>
        <w:t xml:space="preserve">。 </w:t>
      </w:r>
    </w:p>
    <w:p>
      <w:pPr>
        <w:spacing w:line="560" w:lineRule="exact"/>
        <w:ind w:firstLine="320" w:firstLineChars="1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（五）公示：协会常务理事会将对本年度评审</w:t>
      </w:r>
      <w:r>
        <w:rPr>
          <w:rFonts w:hint="eastAsia" w:ascii="仿宋" w:hAnsi="仿宋" w:eastAsia="仿宋"/>
          <w:sz w:val="32"/>
          <w:lang w:eastAsia="zh-CN"/>
        </w:rPr>
        <w:t>结果</w:t>
      </w:r>
      <w:r>
        <w:rPr>
          <w:rFonts w:hint="eastAsia" w:ascii="仿宋" w:hAnsi="仿宋" w:eastAsia="仿宋"/>
          <w:sz w:val="32"/>
        </w:rPr>
        <w:t>进行审议；经公示无异议后，确定本年度优秀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机构名单通报协会理事会。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五、奖励办法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协会将对获得年度“</w:t>
      </w:r>
      <w:r>
        <w:rPr>
          <w:rFonts w:hint="eastAsia" w:ascii="仿宋" w:hAnsi="仿宋" w:eastAsia="仿宋"/>
          <w:sz w:val="32"/>
          <w:lang w:eastAsia="zh-CN"/>
        </w:rPr>
        <w:t>广西</w:t>
      </w:r>
      <w:r>
        <w:rPr>
          <w:rFonts w:hint="eastAsia" w:ascii="仿宋" w:hAnsi="仿宋" w:eastAsia="仿宋"/>
          <w:sz w:val="32"/>
        </w:rPr>
        <w:t>医师协会优秀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机构”进行表彰，颁发证书</w:t>
      </w:r>
      <w:r>
        <w:rPr>
          <w:rFonts w:hint="eastAsia" w:ascii="仿宋" w:hAnsi="仿宋" w:eastAsia="仿宋"/>
          <w:sz w:val="32"/>
          <w:lang w:eastAsia="zh-CN"/>
        </w:rPr>
        <w:t>和奖杯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六、其它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sz w:val="32"/>
        </w:rPr>
        <w:t>（一）各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机构在思想上要高度重视本次评优工作，加强组织建设，认真做好自我监督工作，积极配合评选工作的开展。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sz w:val="32"/>
        </w:rPr>
        <w:t>（二）本次优秀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机构评选的实施细则由协会负责解释。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</w:rPr>
        <w:t>七、</w:t>
      </w:r>
      <w:r>
        <w:rPr>
          <w:rFonts w:hint="eastAsia" w:ascii="仿宋" w:hAnsi="仿宋" w:eastAsia="仿宋"/>
          <w:b/>
          <w:bCs/>
          <w:color w:val="auto"/>
          <w:sz w:val="32"/>
          <w:lang w:val="en-US" w:eastAsia="zh-CN"/>
        </w:rPr>
        <w:t>广西医师协会联系方式：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电  话：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0771-5800373   </w:t>
      </w:r>
      <w:r>
        <w:rPr>
          <w:rFonts w:hint="eastAsia" w:ascii="仿宋" w:hAnsi="仿宋" w:eastAsia="仿宋"/>
          <w:sz w:val="32"/>
        </w:rPr>
        <w:t>邮 箱：</w:t>
      </w:r>
      <w:r>
        <w:rPr>
          <w:rFonts w:ascii="仿宋" w:hAnsi="仿宋" w:eastAsia="仿宋" w:cs="黑体"/>
          <w:kern w:val="0"/>
          <w:sz w:val="32"/>
          <w:szCs w:val="32"/>
        </w:rPr>
        <w:fldChar w:fldCharType="begin"/>
      </w:r>
      <w:r>
        <w:rPr>
          <w:rFonts w:ascii="仿宋" w:hAnsi="仿宋" w:eastAsia="仿宋" w:cs="黑体"/>
          <w:kern w:val="0"/>
          <w:sz w:val="32"/>
          <w:szCs w:val="32"/>
        </w:rPr>
        <w:instrText xml:space="preserve"> HYPERLINK "mailto:gxmda01@163.com" </w:instrText>
      </w:r>
      <w:r>
        <w:rPr>
          <w:rFonts w:ascii="仿宋" w:hAnsi="仿宋" w:eastAsia="仿宋" w:cs="黑体"/>
          <w:kern w:val="0"/>
          <w:sz w:val="32"/>
          <w:szCs w:val="32"/>
        </w:rPr>
        <w:fldChar w:fldCharType="separate"/>
      </w:r>
      <w:r>
        <w:rPr>
          <w:rStyle w:val="8"/>
          <w:rFonts w:ascii="仿宋" w:hAnsi="仿宋" w:eastAsia="仿宋" w:cs="黑体"/>
          <w:kern w:val="0"/>
          <w:sz w:val="32"/>
          <w:szCs w:val="32"/>
        </w:rPr>
        <w:t>g</w:t>
      </w:r>
      <w:r>
        <w:rPr>
          <w:rStyle w:val="8"/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xmda01</w:t>
      </w:r>
      <w:r>
        <w:rPr>
          <w:rStyle w:val="8"/>
          <w:rFonts w:ascii="仿宋" w:hAnsi="仿宋" w:eastAsia="仿宋" w:cs="黑体"/>
          <w:kern w:val="0"/>
          <w:sz w:val="32"/>
          <w:szCs w:val="32"/>
        </w:rPr>
        <w:t>@163.com</w:t>
      </w:r>
      <w:r>
        <w:rPr>
          <w:rFonts w:ascii="仿宋" w:hAnsi="仿宋" w:eastAsia="仿宋" w:cs="黑体"/>
          <w:kern w:val="0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sz w:val="32"/>
        </w:rPr>
        <w:t>联系人</w:t>
      </w:r>
      <w:r>
        <w:rPr>
          <w:rFonts w:hint="eastAsia" w:ascii="仿宋" w:hAnsi="仿宋" w:eastAsia="仿宋"/>
          <w:sz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22"/>
          <w:lang w:val="en-US" w:eastAsia="zh-CN"/>
        </w:rPr>
        <w:t>莫运鋆13557012514  彭素娟18677157064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w w:val="90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办公地址:</w:t>
      </w:r>
      <w:r>
        <w:rPr>
          <w:rFonts w:hint="eastAsia" w:ascii="仿宋" w:hAnsi="仿宋" w:eastAsia="仿宋"/>
          <w:w w:val="90"/>
          <w:sz w:val="32"/>
          <w:lang w:val="en-US" w:eastAsia="zh-CN"/>
        </w:rPr>
        <w:t xml:space="preserve">南宁市青秀区双拥路30号,南湖名都广场A座1003室 </w:t>
      </w:r>
    </w:p>
    <w:p>
      <w:pPr>
        <w:spacing w:line="560" w:lineRule="exact"/>
        <w:ind w:firstLine="1280" w:firstLineChars="400"/>
        <w:rPr>
          <w:rFonts w:ascii="仿宋" w:hAnsi="仿宋" w:eastAsia="仿宋" w:cs="黑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年度“优秀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二级机构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”评选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活动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lang w:eastAsia="zh-CN"/>
        </w:rPr>
        <w:t>广西</w:t>
      </w:r>
      <w:r>
        <w:rPr>
          <w:rFonts w:hint="eastAsia" w:ascii="仿宋" w:hAnsi="仿宋" w:eastAsia="仿宋"/>
          <w:sz w:val="32"/>
        </w:rPr>
        <w:t>医师协会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机构评选考核汇总表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sz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lang w:eastAsia="zh-CN"/>
        </w:rPr>
        <w:t>广西</w:t>
      </w:r>
      <w:r>
        <w:rPr>
          <w:rFonts w:hint="eastAsia" w:ascii="仿宋" w:hAnsi="仿宋" w:eastAsia="仿宋"/>
          <w:sz w:val="32"/>
        </w:rPr>
        <w:t>医师协会</w:t>
      </w:r>
      <w:r>
        <w:rPr>
          <w:rFonts w:hint="eastAsia" w:ascii="仿宋" w:hAnsi="仿宋" w:eastAsia="仿宋"/>
          <w:sz w:val="32"/>
          <w:lang w:eastAsia="zh-CN"/>
        </w:rPr>
        <w:t>二级</w:t>
      </w:r>
      <w:r>
        <w:rPr>
          <w:rFonts w:hint="eastAsia" w:ascii="仿宋" w:hAnsi="仿宋" w:eastAsia="仿宋"/>
          <w:sz w:val="32"/>
        </w:rPr>
        <w:t>机构考核评分细则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广西</w:t>
      </w:r>
      <w:r>
        <w:rPr>
          <w:rFonts w:hint="eastAsia" w:ascii="仿宋" w:hAnsi="仿宋" w:eastAsia="仿宋"/>
          <w:sz w:val="32"/>
        </w:rPr>
        <w:t>医师协会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</w:rPr>
        <w:t xml:space="preserve"> 201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</w:rPr>
        <w:t>日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588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4D09"/>
    <w:rsid w:val="00010EAD"/>
    <w:rsid w:val="000234B1"/>
    <w:rsid w:val="00024A83"/>
    <w:rsid w:val="00071C20"/>
    <w:rsid w:val="00087935"/>
    <w:rsid w:val="000C3527"/>
    <w:rsid w:val="000D3209"/>
    <w:rsid w:val="000F5243"/>
    <w:rsid w:val="00103A79"/>
    <w:rsid w:val="00123E51"/>
    <w:rsid w:val="001267FE"/>
    <w:rsid w:val="0014301A"/>
    <w:rsid w:val="00147C22"/>
    <w:rsid w:val="00161872"/>
    <w:rsid w:val="00166D16"/>
    <w:rsid w:val="0018186F"/>
    <w:rsid w:val="001859CB"/>
    <w:rsid w:val="001906F3"/>
    <w:rsid w:val="00196224"/>
    <w:rsid w:val="001A364B"/>
    <w:rsid w:val="001B07B6"/>
    <w:rsid w:val="001B1AD8"/>
    <w:rsid w:val="001D53A3"/>
    <w:rsid w:val="001F255E"/>
    <w:rsid w:val="002008A3"/>
    <w:rsid w:val="00203F24"/>
    <w:rsid w:val="00221C38"/>
    <w:rsid w:val="002329FC"/>
    <w:rsid w:val="00233070"/>
    <w:rsid w:val="00233816"/>
    <w:rsid w:val="00233C0B"/>
    <w:rsid w:val="00287019"/>
    <w:rsid w:val="002E19AF"/>
    <w:rsid w:val="002E69E6"/>
    <w:rsid w:val="0031355E"/>
    <w:rsid w:val="00320025"/>
    <w:rsid w:val="00331317"/>
    <w:rsid w:val="003314C2"/>
    <w:rsid w:val="00350F2C"/>
    <w:rsid w:val="00352BE5"/>
    <w:rsid w:val="003A4206"/>
    <w:rsid w:val="003B1F60"/>
    <w:rsid w:val="004205D6"/>
    <w:rsid w:val="004226EA"/>
    <w:rsid w:val="00423836"/>
    <w:rsid w:val="00426671"/>
    <w:rsid w:val="004370AC"/>
    <w:rsid w:val="004410D0"/>
    <w:rsid w:val="0044170A"/>
    <w:rsid w:val="00441A27"/>
    <w:rsid w:val="00443EB5"/>
    <w:rsid w:val="00465B32"/>
    <w:rsid w:val="00483F0C"/>
    <w:rsid w:val="004846F7"/>
    <w:rsid w:val="004A07FC"/>
    <w:rsid w:val="004C6950"/>
    <w:rsid w:val="004E0F09"/>
    <w:rsid w:val="005068B0"/>
    <w:rsid w:val="005162C7"/>
    <w:rsid w:val="00524679"/>
    <w:rsid w:val="00530157"/>
    <w:rsid w:val="00541E5C"/>
    <w:rsid w:val="005D10FA"/>
    <w:rsid w:val="005E23BD"/>
    <w:rsid w:val="005E3C80"/>
    <w:rsid w:val="006133CA"/>
    <w:rsid w:val="00621984"/>
    <w:rsid w:val="00650D06"/>
    <w:rsid w:val="0065516D"/>
    <w:rsid w:val="00664FC2"/>
    <w:rsid w:val="00684564"/>
    <w:rsid w:val="00692A1E"/>
    <w:rsid w:val="006B761D"/>
    <w:rsid w:val="006C17A7"/>
    <w:rsid w:val="006C588B"/>
    <w:rsid w:val="00736CF1"/>
    <w:rsid w:val="00742429"/>
    <w:rsid w:val="00783750"/>
    <w:rsid w:val="00786BF9"/>
    <w:rsid w:val="007A0AAE"/>
    <w:rsid w:val="007A42C1"/>
    <w:rsid w:val="007A501A"/>
    <w:rsid w:val="007B2BF9"/>
    <w:rsid w:val="007B58D6"/>
    <w:rsid w:val="007C361D"/>
    <w:rsid w:val="007C641D"/>
    <w:rsid w:val="007E11AC"/>
    <w:rsid w:val="007F094F"/>
    <w:rsid w:val="007F45E3"/>
    <w:rsid w:val="00845EAD"/>
    <w:rsid w:val="0085248A"/>
    <w:rsid w:val="0087221A"/>
    <w:rsid w:val="0087484A"/>
    <w:rsid w:val="008765C2"/>
    <w:rsid w:val="008821D2"/>
    <w:rsid w:val="008824CA"/>
    <w:rsid w:val="008B5272"/>
    <w:rsid w:val="008C2005"/>
    <w:rsid w:val="0090031D"/>
    <w:rsid w:val="00911932"/>
    <w:rsid w:val="00942691"/>
    <w:rsid w:val="00947F59"/>
    <w:rsid w:val="0095334A"/>
    <w:rsid w:val="009A3F90"/>
    <w:rsid w:val="009E23AE"/>
    <w:rsid w:val="009F0072"/>
    <w:rsid w:val="00A016D9"/>
    <w:rsid w:val="00A1094B"/>
    <w:rsid w:val="00A1369F"/>
    <w:rsid w:val="00A14A2C"/>
    <w:rsid w:val="00A27396"/>
    <w:rsid w:val="00A34BBB"/>
    <w:rsid w:val="00A41DBD"/>
    <w:rsid w:val="00A602E8"/>
    <w:rsid w:val="00A62E0D"/>
    <w:rsid w:val="00A64616"/>
    <w:rsid w:val="00A74D09"/>
    <w:rsid w:val="00A74F82"/>
    <w:rsid w:val="00A76314"/>
    <w:rsid w:val="00A773AB"/>
    <w:rsid w:val="00A85D6C"/>
    <w:rsid w:val="00A8691F"/>
    <w:rsid w:val="00A9440E"/>
    <w:rsid w:val="00AB1A1B"/>
    <w:rsid w:val="00AC5B27"/>
    <w:rsid w:val="00AE0AEB"/>
    <w:rsid w:val="00B20CCA"/>
    <w:rsid w:val="00B244C3"/>
    <w:rsid w:val="00B26690"/>
    <w:rsid w:val="00B56A5A"/>
    <w:rsid w:val="00B61F8D"/>
    <w:rsid w:val="00B649EA"/>
    <w:rsid w:val="00B67AB9"/>
    <w:rsid w:val="00B776B5"/>
    <w:rsid w:val="00B8397A"/>
    <w:rsid w:val="00B9505D"/>
    <w:rsid w:val="00B9696A"/>
    <w:rsid w:val="00BC2756"/>
    <w:rsid w:val="00C22A6E"/>
    <w:rsid w:val="00C402D7"/>
    <w:rsid w:val="00C80F93"/>
    <w:rsid w:val="00C96C91"/>
    <w:rsid w:val="00CA1799"/>
    <w:rsid w:val="00D1543B"/>
    <w:rsid w:val="00D23B82"/>
    <w:rsid w:val="00D45AC9"/>
    <w:rsid w:val="00D60831"/>
    <w:rsid w:val="00D86B9F"/>
    <w:rsid w:val="00DB0409"/>
    <w:rsid w:val="00DF7CFB"/>
    <w:rsid w:val="00E25896"/>
    <w:rsid w:val="00E263D5"/>
    <w:rsid w:val="00E334B7"/>
    <w:rsid w:val="00E47641"/>
    <w:rsid w:val="00E51BAB"/>
    <w:rsid w:val="00E86B60"/>
    <w:rsid w:val="00E90C90"/>
    <w:rsid w:val="00EA4504"/>
    <w:rsid w:val="00EB623B"/>
    <w:rsid w:val="00EF1310"/>
    <w:rsid w:val="00EF4900"/>
    <w:rsid w:val="00F013D8"/>
    <w:rsid w:val="00F04792"/>
    <w:rsid w:val="00F357B8"/>
    <w:rsid w:val="00F61C15"/>
    <w:rsid w:val="00F72FE7"/>
    <w:rsid w:val="00FC02B3"/>
    <w:rsid w:val="00FC0946"/>
    <w:rsid w:val="00FD7E41"/>
    <w:rsid w:val="0737310A"/>
    <w:rsid w:val="080D2F0F"/>
    <w:rsid w:val="0B260E15"/>
    <w:rsid w:val="0D7C44D7"/>
    <w:rsid w:val="0E49309A"/>
    <w:rsid w:val="0E727672"/>
    <w:rsid w:val="0E841229"/>
    <w:rsid w:val="13F4606B"/>
    <w:rsid w:val="194F4B65"/>
    <w:rsid w:val="22097E0C"/>
    <w:rsid w:val="24D90256"/>
    <w:rsid w:val="26D22469"/>
    <w:rsid w:val="2B802B4D"/>
    <w:rsid w:val="2B871DA7"/>
    <w:rsid w:val="2E074B61"/>
    <w:rsid w:val="33C11AF3"/>
    <w:rsid w:val="34E561ED"/>
    <w:rsid w:val="3F49733A"/>
    <w:rsid w:val="4BAD1AA0"/>
    <w:rsid w:val="4C024E76"/>
    <w:rsid w:val="515967A9"/>
    <w:rsid w:val="51A63E79"/>
    <w:rsid w:val="64234C62"/>
    <w:rsid w:val="658221C4"/>
    <w:rsid w:val="65974DDA"/>
    <w:rsid w:val="6D3D4EC6"/>
    <w:rsid w:val="6E5C7E8E"/>
    <w:rsid w:val="71C00095"/>
    <w:rsid w:val="772F057A"/>
    <w:rsid w:val="79C03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8">
    <w:name w:val="Hyperlink"/>
    <w:basedOn w:val="7"/>
    <w:semiHidden/>
    <w:unhideWhenUsed/>
    <w:uiPriority w:val="0"/>
    <w:rPr>
      <w:color w:val="0000FF"/>
      <w:u w:val="single"/>
    </w:rPr>
  </w:style>
  <w:style w:type="character" w:customStyle="1" w:styleId="9">
    <w:name w:val="页眉 Char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183</Words>
  <Characters>1044</Characters>
  <Lines>8</Lines>
  <Paragraphs>2</Paragraphs>
  <TotalTime>12</TotalTime>
  <ScaleCrop>false</ScaleCrop>
  <LinksUpToDate>false</LinksUpToDate>
  <CharactersWithSpaces>1225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2012-11-06T02:28:00Z</dcterms:created>
  <dc:creator>Lenovo User</dc:creator>
  <cp:lastModifiedBy>Jane P</cp:lastModifiedBy>
  <cp:lastPrinted>2019-06-26T12:20:03Z</cp:lastPrinted>
  <dcterms:modified xsi:type="dcterms:W3CDTF">2019-06-26T12:33:02Z</dcterms:modified>
  <dc:title>陕西省医学会专科分会评选考核说明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